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D3005" w14:textId="4BBA7426" w:rsidR="0000360A" w:rsidRPr="00E24000" w:rsidRDefault="0050136C" w:rsidP="00512093">
      <w:pPr>
        <w:ind w:left="6096"/>
        <w:jc w:val="right"/>
        <w:rPr>
          <w:color w:val="83847A" w:themeColor="text2"/>
          <w:sz w:val="16"/>
          <w:szCs w:val="16"/>
          <w:lang w:eastAsia="en-AU"/>
        </w:rPr>
      </w:pPr>
      <w:r>
        <w:rPr>
          <w:b/>
          <w:noProof/>
          <w:color w:val="671E75" w:themeColor="accent1"/>
          <w:sz w:val="16"/>
          <w:szCs w:val="16"/>
          <w:lang w:eastAsia="en-AU"/>
        </w:rPr>
        <w:drawing>
          <wp:anchor distT="0" distB="0" distL="114300" distR="114300" simplePos="0" relativeHeight="251660288" behindDoc="0" locked="0" layoutInCell="1" allowOverlap="1" wp14:anchorId="473258C1" wp14:editId="66F8BDC4">
            <wp:simplePos x="0" y="0"/>
            <wp:positionH relativeFrom="column">
              <wp:posOffset>-535577</wp:posOffset>
            </wp:positionH>
            <wp:positionV relativeFrom="paragraph">
              <wp:posOffset>-4445</wp:posOffset>
            </wp:positionV>
            <wp:extent cx="1253456" cy="892800"/>
            <wp:effectExtent l="0" t="0" r="444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dbank Logo_RGB.png"/>
                    <pic:cNvPicPr/>
                  </pic:nvPicPr>
                  <pic:blipFill>
                    <a:blip r:embed="rId11">
                      <a:extLst>
                        <a:ext uri="{28A0092B-C50C-407E-A947-70E740481C1C}">
                          <a14:useLocalDpi xmlns:a14="http://schemas.microsoft.com/office/drawing/2010/main" val="0"/>
                        </a:ext>
                      </a:extLst>
                    </a:blip>
                    <a:stretch>
                      <a:fillRect/>
                    </a:stretch>
                  </pic:blipFill>
                  <pic:spPr>
                    <a:xfrm>
                      <a:off x="0" y="0"/>
                      <a:ext cx="1253456" cy="892800"/>
                    </a:xfrm>
                    <a:prstGeom prst="rect">
                      <a:avLst/>
                    </a:prstGeom>
                  </pic:spPr>
                </pic:pic>
              </a:graphicData>
            </a:graphic>
            <wp14:sizeRelH relativeFrom="page">
              <wp14:pctWidth>0</wp14:pctWidth>
            </wp14:sizeRelH>
            <wp14:sizeRelV relativeFrom="page">
              <wp14:pctHeight>0</wp14:pctHeight>
            </wp14:sizeRelV>
          </wp:anchor>
        </w:drawing>
      </w:r>
      <w:r w:rsidR="0000360A" w:rsidRPr="00E24000">
        <w:rPr>
          <w:b/>
          <w:color w:val="671E75" w:themeColor="accent1"/>
          <w:sz w:val="16"/>
          <w:szCs w:val="16"/>
          <w:lang w:eastAsia="en-AU"/>
        </w:rPr>
        <w:t>Foodbank Australia Limited</w:t>
      </w:r>
      <w:r w:rsidR="0000360A" w:rsidRPr="00E24000">
        <w:rPr>
          <w:b/>
          <w:color w:val="83847A" w:themeColor="text2"/>
          <w:sz w:val="16"/>
          <w:szCs w:val="16"/>
          <w:lang w:eastAsia="en-AU"/>
        </w:rPr>
        <w:br/>
      </w:r>
      <w:r w:rsidR="0000360A" w:rsidRPr="00E24000">
        <w:rPr>
          <w:color w:val="83847A" w:themeColor="text2"/>
          <w:sz w:val="16"/>
          <w:szCs w:val="16"/>
          <w:lang w:eastAsia="en-AU"/>
        </w:rPr>
        <w:t>ABN 58 073 579 254</w:t>
      </w:r>
      <w:r w:rsidR="0000360A" w:rsidRPr="00E24000">
        <w:rPr>
          <w:color w:val="83847A" w:themeColor="text2"/>
          <w:sz w:val="16"/>
          <w:szCs w:val="16"/>
          <w:lang w:eastAsia="en-AU"/>
        </w:rPr>
        <w:br/>
        <w:t>11 Julius Avenue, North Ryde NSW 2113</w:t>
      </w:r>
      <w:r w:rsidR="0000360A" w:rsidRPr="00E24000">
        <w:rPr>
          <w:color w:val="83847A" w:themeColor="text2"/>
          <w:sz w:val="16"/>
          <w:szCs w:val="16"/>
          <w:lang w:eastAsia="en-AU"/>
        </w:rPr>
        <w:br/>
        <w:t>PO Box 52, North Ryde NSW 1670</w:t>
      </w:r>
      <w:r w:rsidR="0000360A" w:rsidRPr="00E24000">
        <w:rPr>
          <w:color w:val="83847A" w:themeColor="text2"/>
          <w:sz w:val="16"/>
          <w:szCs w:val="16"/>
          <w:lang w:eastAsia="en-AU"/>
        </w:rPr>
        <w:br/>
      </w:r>
      <w:r w:rsidR="0000360A" w:rsidRPr="00E24000">
        <w:rPr>
          <w:b/>
          <w:color w:val="671E75" w:themeColor="accent1"/>
          <w:sz w:val="16"/>
          <w:szCs w:val="16"/>
          <w:lang w:eastAsia="en-AU"/>
        </w:rPr>
        <w:t>P</w:t>
      </w:r>
      <w:r w:rsidR="0000360A" w:rsidRPr="00E24000">
        <w:rPr>
          <w:color w:val="83847A" w:themeColor="text2"/>
          <w:sz w:val="16"/>
          <w:szCs w:val="16"/>
          <w:lang w:eastAsia="en-AU"/>
        </w:rPr>
        <w:t xml:space="preserve"> +61 2 9887 4144</w:t>
      </w:r>
      <w:r w:rsidR="0000360A" w:rsidRPr="00E24000">
        <w:rPr>
          <w:color w:val="83847A" w:themeColor="text2"/>
          <w:sz w:val="16"/>
          <w:szCs w:val="16"/>
          <w:lang w:eastAsia="en-AU"/>
        </w:rPr>
        <w:br/>
      </w:r>
      <w:r w:rsidR="0000360A" w:rsidRPr="00E24000">
        <w:rPr>
          <w:b/>
          <w:color w:val="671E75" w:themeColor="accent1"/>
          <w:sz w:val="16"/>
          <w:szCs w:val="16"/>
          <w:lang w:eastAsia="en-AU"/>
        </w:rPr>
        <w:t>E</w:t>
      </w:r>
      <w:r w:rsidR="0000360A" w:rsidRPr="00E24000">
        <w:rPr>
          <w:color w:val="83847A" w:themeColor="text2"/>
          <w:sz w:val="16"/>
          <w:szCs w:val="16"/>
          <w:lang w:eastAsia="en-AU"/>
        </w:rPr>
        <w:t xml:space="preserve"> </w:t>
      </w:r>
      <w:r w:rsidR="00856B63">
        <w:rPr>
          <w:color w:val="83847A" w:themeColor="text2"/>
          <w:sz w:val="16"/>
          <w:szCs w:val="16"/>
          <w:lang w:eastAsia="en-AU"/>
        </w:rPr>
        <w:t>admin</w:t>
      </w:r>
      <w:r w:rsidR="0000360A" w:rsidRPr="00E24000">
        <w:rPr>
          <w:color w:val="83847A" w:themeColor="text2"/>
          <w:sz w:val="16"/>
          <w:szCs w:val="16"/>
          <w:lang w:eastAsia="en-AU"/>
        </w:rPr>
        <w:t>@foodbank.org.au</w:t>
      </w:r>
      <w:r w:rsidR="0000360A" w:rsidRPr="00E24000">
        <w:rPr>
          <w:color w:val="83847A" w:themeColor="text2"/>
          <w:sz w:val="16"/>
          <w:szCs w:val="16"/>
          <w:lang w:eastAsia="en-AU"/>
        </w:rPr>
        <w:br/>
      </w:r>
      <w:r w:rsidR="0000360A" w:rsidRPr="00E24000">
        <w:rPr>
          <w:b/>
          <w:color w:val="671E75" w:themeColor="accent1"/>
          <w:sz w:val="16"/>
          <w:szCs w:val="16"/>
          <w:lang w:eastAsia="en-AU"/>
        </w:rPr>
        <w:t>W</w:t>
      </w:r>
      <w:r w:rsidR="0000360A" w:rsidRPr="00E24000">
        <w:rPr>
          <w:color w:val="83847A" w:themeColor="text2"/>
          <w:sz w:val="16"/>
          <w:szCs w:val="16"/>
          <w:lang w:eastAsia="en-AU"/>
        </w:rPr>
        <w:t xml:space="preserve"> foodbank.org.au</w:t>
      </w:r>
    </w:p>
    <w:p w14:paraId="31FB39B6" w14:textId="6713B1EE" w:rsidR="0000360A" w:rsidRDefault="0000360A" w:rsidP="00E70A53">
      <w:pPr>
        <w:ind w:left="1134"/>
        <w:rPr>
          <w:lang w:eastAsia="en-AU"/>
        </w:rPr>
      </w:pPr>
    </w:p>
    <w:p w14:paraId="799DD26C" w14:textId="6FD2FE61" w:rsidR="0000360A" w:rsidRDefault="0000360A" w:rsidP="00E70A53">
      <w:pPr>
        <w:ind w:left="1134"/>
        <w:rPr>
          <w:lang w:eastAsia="en-AU"/>
        </w:rPr>
      </w:pPr>
    </w:p>
    <w:p w14:paraId="26B88AAC" w14:textId="09DDDD31" w:rsidR="00C703F4" w:rsidRDefault="00565300" w:rsidP="00C703F4">
      <w:pPr>
        <w:ind w:left="1134"/>
        <w:rPr>
          <w:lang w:eastAsia="en-AU"/>
        </w:rPr>
      </w:pPr>
      <w:r>
        <w:rPr>
          <w:lang w:eastAsia="en-AU"/>
        </w:rPr>
        <w:t>21</w:t>
      </w:r>
      <w:r w:rsidR="003B2C12">
        <w:rPr>
          <w:lang w:eastAsia="en-AU"/>
        </w:rPr>
        <w:t xml:space="preserve"> </w:t>
      </w:r>
      <w:r>
        <w:rPr>
          <w:lang w:eastAsia="en-AU"/>
        </w:rPr>
        <w:t>August</w:t>
      </w:r>
      <w:r w:rsidR="003B2C12">
        <w:rPr>
          <w:lang w:eastAsia="en-AU"/>
        </w:rPr>
        <w:t xml:space="preserve"> 2020</w:t>
      </w:r>
    </w:p>
    <w:p w14:paraId="0C75CFD2" w14:textId="1EB25314" w:rsidR="00E70A53" w:rsidRDefault="00E70A53" w:rsidP="00E70A53">
      <w:pPr>
        <w:ind w:left="1134"/>
        <w:rPr>
          <w:lang w:eastAsia="en-AU"/>
        </w:rPr>
      </w:pPr>
    </w:p>
    <w:p w14:paraId="7C40CA1A" w14:textId="5B2E882A" w:rsidR="0000116D" w:rsidRDefault="00565300" w:rsidP="0000116D">
      <w:pPr>
        <w:ind w:left="1134"/>
        <w:rPr>
          <w:lang w:eastAsia="en-AU"/>
        </w:rPr>
      </w:pPr>
      <w:r>
        <w:rPr>
          <w:lang w:eastAsia="en-AU"/>
        </w:rPr>
        <w:t xml:space="preserve">To the </w:t>
      </w:r>
      <w:r w:rsidR="0000116D">
        <w:rPr>
          <w:lang w:eastAsia="en-AU"/>
        </w:rPr>
        <w:t xml:space="preserve">Senate Finance and Public Administration References Committee </w:t>
      </w:r>
    </w:p>
    <w:p w14:paraId="060147A8" w14:textId="77777777" w:rsidR="00E70A53" w:rsidRDefault="00E70A53" w:rsidP="00C703F4">
      <w:pPr>
        <w:rPr>
          <w:lang w:eastAsia="en-AU"/>
        </w:rPr>
      </w:pPr>
    </w:p>
    <w:p w14:paraId="4AB31C66" w14:textId="29908E01" w:rsidR="00E70A53" w:rsidRPr="003B2C12" w:rsidRDefault="00E70A53" w:rsidP="00E70A53">
      <w:pPr>
        <w:ind w:left="1134"/>
        <w:rPr>
          <w:b/>
          <w:bCs/>
          <w:lang w:eastAsia="en-AU"/>
        </w:rPr>
      </w:pPr>
      <w:r w:rsidRPr="003B2C12">
        <w:rPr>
          <w:b/>
          <w:bCs/>
          <w:lang w:eastAsia="en-AU"/>
        </w:rPr>
        <w:t xml:space="preserve">Re: </w:t>
      </w:r>
      <w:r w:rsidR="00565300" w:rsidRPr="00565300">
        <w:rPr>
          <w:b/>
          <w:bCs/>
          <w:lang w:eastAsia="en-AU"/>
        </w:rPr>
        <w:t xml:space="preserve">Inquiry into </w:t>
      </w:r>
      <w:r w:rsidR="00F05F8F">
        <w:rPr>
          <w:b/>
          <w:bCs/>
          <w:lang w:eastAsia="en-AU"/>
        </w:rPr>
        <w:t>l</w:t>
      </w:r>
      <w:r w:rsidR="00565300" w:rsidRPr="00565300">
        <w:rPr>
          <w:b/>
          <w:bCs/>
          <w:lang w:eastAsia="en-AU"/>
        </w:rPr>
        <w:t>essons to be learned in relation to the Australian bushfire season 2019-20</w:t>
      </w:r>
    </w:p>
    <w:p w14:paraId="7ABE1CEA" w14:textId="3FF53AAC" w:rsidR="00E70A53" w:rsidRDefault="0000116D" w:rsidP="00E70A53">
      <w:pPr>
        <w:ind w:left="1134"/>
        <w:rPr>
          <w:lang w:eastAsia="en-AU"/>
        </w:rPr>
      </w:pPr>
      <w:r w:rsidRPr="0000116D">
        <w:rPr>
          <w:lang w:eastAsia="en-AU"/>
        </w:rPr>
        <w:t xml:space="preserve">During the </w:t>
      </w:r>
      <w:r>
        <w:rPr>
          <w:lang w:eastAsia="en-AU"/>
        </w:rPr>
        <w:t xml:space="preserve">above </w:t>
      </w:r>
      <w:r w:rsidRPr="0000116D">
        <w:rPr>
          <w:lang w:eastAsia="en-AU"/>
        </w:rPr>
        <w:t>hearing,</w:t>
      </w:r>
      <w:r>
        <w:rPr>
          <w:lang w:eastAsia="en-AU"/>
        </w:rPr>
        <w:t xml:space="preserve"> Brianna Casey, CEO of Foodbank Australia, took on notice a question from the committee on what Foodbank may need to ensure it is better prepared for forthcoming disaster seasons. Below is a table with the details of our response.</w:t>
      </w:r>
    </w:p>
    <w:p w14:paraId="3DD8AA75" w14:textId="3C101967" w:rsidR="0000116D" w:rsidRDefault="0000116D" w:rsidP="00E70A53">
      <w:pPr>
        <w:ind w:left="1134"/>
        <w:rPr>
          <w:lang w:eastAsia="en-AU"/>
        </w:rPr>
      </w:pPr>
    </w:p>
    <w:tbl>
      <w:tblPr>
        <w:tblStyle w:val="TableGrid"/>
        <w:tblW w:w="7792" w:type="dxa"/>
        <w:tblInd w:w="1134" w:type="dxa"/>
        <w:tblLook w:val="04A0" w:firstRow="1" w:lastRow="0" w:firstColumn="1" w:lastColumn="0" w:noHBand="0" w:noVBand="1"/>
      </w:tblPr>
      <w:tblGrid>
        <w:gridCol w:w="2263"/>
        <w:gridCol w:w="3686"/>
        <w:gridCol w:w="1843"/>
      </w:tblGrid>
      <w:tr w:rsidR="0000116D" w:rsidRPr="004D07EC" w14:paraId="6F9A3575" w14:textId="77777777" w:rsidTr="0000116D">
        <w:tc>
          <w:tcPr>
            <w:tcW w:w="2263" w:type="dxa"/>
          </w:tcPr>
          <w:p w14:paraId="1BBBB5E8" w14:textId="4964837A" w:rsidR="0000116D" w:rsidRPr="004D07EC" w:rsidRDefault="0000116D" w:rsidP="00E70A53">
            <w:pPr>
              <w:rPr>
                <w:b/>
                <w:bCs/>
                <w:lang w:eastAsia="en-AU"/>
              </w:rPr>
            </w:pPr>
            <w:r w:rsidRPr="004D07EC">
              <w:rPr>
                <w:b/>
                <w:bCs/>
                <w:lang w:eastAsia="en-AU"/>
              </w:rPr>
              <w:t>Item</w:t>
            </w:r>
          </w:p>
        </w:tc>
        <w:tc>
          <w:tcPr>
            <w:tcW w:w="3686" w:type="dxa"/>
          </w:tcPr>
          <w:p w14:paraId="0B3E35D7" w14:textId="3EC127D8" w:rsidR="0000116D" w:rsidRPr="004D07EC" w:rsidRDefault="0000116D" w:rsidP="00E70A53">
            <w:pPr>
              <w:rPr>
                <w:b/>
                <w:bCs/>
                <w:lang w:eastAsia="en-AU"/>
              </w:rPr>
            </w:pPr>
            <w:r w:rsidRPr="004D07EC">
              <w:rPr>
                <w:b/>
                <w:bCs/>
                <w:lang w:eastAsia="en-AU"/>
              </w:rPr>
              <w:t>Details</w:t>
            </w:r>
          </w:p>
        </w:tc>
        <w:tc>
          <w:tcPr>
            <w:tcW w:w="1843" w:type="dxa"/>
          </w:tcPr>
          <w:p w14:paraId="6CA42131" w14:textId="3C9BF923" w:rsidR="0000116D" w:rsidRPr="004D07EC" w:rsidRDefault="0000116D" w:rsidP="00E70A53">
            <w:pPr>
              <w:rPr>
                <w:b/>
                <w:bCs/>
                <w:lang w:eastAsia="en-AU"/>
              </w:rPr>
            </w:pPr>
            <w:r w:rsidRPr="004D07EC">
              <w:rPr>
                <w:b/>
                <w:bCs/>
                <w:lang w:eastAsia="en-AU"/>
              </w:rPr>
              <w:t>Investment</w:t>
            </w:r>
          </w:p>
        </w:tc>
      </w:tr>
      <w:tr w:rsidR="0000116D" w14:paraId="1C83F79E" w14:textId="77777777" w:rsidTr="0000116D">
        <w:tc>
          <w:tcPr>
            <w:tcW w:w="2263" w:type="dxa"/>
          </w:tcPr>
          <w:p w14:paraId="0A01AFA3" w14:textId="2B1FCBB8" w:rsidR="0000116D" w:rsidRDefault="0000116D" w:rsidP="00E70A53">
            <w:pPr>
              <w:rPr>
                <w:lang w:eastAsia="en-AU"/>
              </w:rPr>
            </w:pPr>
            <w:r>
              <w:rPr>
                <w:lang w:eastAsia="en-AU"/>
              </w:rPr>
              <w:t>Food &amp; Groceries</w:t>
            </w:r>
          </w:p>
        </w:tc>
        <w:tc>
          <w:tcPr>
            <w:tcW w:w="3686" w:type="dxa"/>
          </w:tcPr>
          <w:p w14:paraId="7DBBA381" w14:textId="67C16D41" w:rsidR="0000116D" w:rsidRDefault="0000116D" w:rsidP="00E70A53">
            <w:pPr>
              <w:rPr>
                <w:lang w:eastAsia="en-AU"/>
              </w:rPr>
            </w:pPr>
            <w:r>
              <w:rPr>
                <w:lang w:eastAsia="en-AU"/>
              </w:rPr>
              <w:t xml:space="preserve">It is critical to have enough appropriate stock on hand prior to any disaster as there is no guarantee that enough of the required items will be in the warehouses in the normal course of business and it takes up to 3 months to order in specific stock. </w:t>
            </w:r>
          </w:p>
        </w:tc>
        <w:tc>
          <w:tcPr>
            <w:tcW w:w="1843" w:type="dxa"/>
          </w:tcPr>
          <w:p w14:paraId="227C7AE9" w14:textId="3CB84210" w:rsidR="0000116D" w:rsidRDefault="0000116D" w:rsidP="00E70A53">
            <w:pPr>
              <w:rPr>
                <w:lang w:eastAsia="en-AU"/>
              </w:rPr>
            </w:pPr>
            <w:r>
              <w:rPr>
                <w:lang w:eastAsia="en-AU"/>
              </w:rPr>
              <w:t>$</w:t>
            </w:r>
            <w:r w:rsidR="00762447">
              <w:rPr>
                <w:lang w:eastAsia="en-AU"/>
              </w:rPr>
              <w:t>1</w:t>
            </w:r>
            <w:r w:rsidR="00F05F8F">
              <w:rPr>
                <w:lang w:eastAsia="en-AU"/>
              </w:rPr>
              <w:t>m</w:t>
            </w:r>
            <w:r w:rsidR="00F45663">
              <w:rPr>
                <w:lang w:eastAsia="en-AU"/>
              </w:rPr>
              <w:t xml:space="preserve"> (which can generate up to $5m worth of food</w:t>
            </w:r>
            <w:r w:rsidR="00F05F8F">
              <w:rPr>
                <w:lang w:eastAsia="en-AU"/>
              </w:rPr>
              <w:t xml:space="preserve"> given Foodbank’s industry partnerships</w:t>
            </w:r>
            <w:r w:rsidR="00F45663">
              <w:rPr>
                <w:lang w:eastAsia="en-AU"/>
              </w:rPr>
              <w:t>)</w:t>
            </w:r>
          </w:p>
        </w:tc>
      </w:tr>
      <w:tr w:rsidR="0000116D" w14:paraId="0FDBF1E9" w14:textId="77777777" w:rsidTr="0000116D">
        <w:tc>
          <w:tcPr>
            <w:tcW w:w="2263" w:type="dxa"/>
          </w:tcPr>
          <w:p w14:paraId="0DBF1A01" w14:textId="6DA9257D" w:rsidR="0000116D" w:rsidRDefault="0000116D" w:rsidP="00E70A53">
            <w:pPr>
              <w:rPr>
                <w:lang w:eastAsia="en-AU"/>
              </w:rPr>
            </w:pPr>
            <w:r>
              <w:rPr>
                <w:lang w:eastAsia="en-AU"/>
              </w:rPr>
              <w:t xml:space="preserve">Transport </w:t>
            </w:r>
          </w:p>
        </w:tc>
        <w:tc>
          <w:tcPr>
            <w:tcW w:w="3686" w:type="dxa"/>
          </w:tcPr>
          <w:p w14:paraId="77555547" w14:textId="6E59BB5C" w:rsidR="0000116D" w:rsidRDefault="0000116D" w:rsidP="00E70A53">
            <w:pPr>
              <w:rPr>
                <w:lang w:eastAsia="en-AU"/>
              </w:rPr>
            </w:pPr>
            <w:r>
              <w:rPr>
                <w:lang w:eastAsia="en-AU"/>
              </w:rPr>
              <w:t>Additional transport will be required to take extraordinary stock to areas which may not normally be part of Foodbank</w:t>
            </w:r>
            <w:r w:rsidR="00F05F8F">
              <w:rPr>
                <w:lang w:eastAsia="en-AU"/>
              </w:rPr>
              <w:t>’s</w:t>
            </w:r>
            <w:r w:rsidR="00F45663">
              <w:rPr>
                <w:lang w:eastAsia="en-AU"/>
              </w:rPr>
              <w:t xml:space="preserve"> or the food and grocery industry’s</w:t>
            </w:r>
            <w:r>
              <w:rPr>
                <w:lang w:eastAsia="en-AU"/>
              </w:rPr>
              <w:t xml:space="preserve"> destinations</w:t>
            </w:r>
            <w:r w:rsidR="00F05F8F">
              <w:rPr>
                <w:lang w:eastAsia="en-AU"/>
              </w:rPr>
              <w:t>,</w:t>
            </w:r>
            <w:r w:rsidR="00560154">
              <w:rPr>
                <w:lang w:eastAsia="en-AU"/>
              </w:rPr>
              <w:t xml:space="preserve"> meaning pro bono is not an option in these circumstances</w:t>
            </w:r>
            <w:r w:rsidR="00F45663">
              <w:rPr>
                <w:lang w:eastAsia="en-AU"/>
              </w:rPr>
              <w:t xml:space="preserve">. </w:t>
            </w:r>
          </w:p>
        </w:tc>
        <w:tc>
          <w:tcPr>
            <w:tcW w:w="1843" w:type="dxa"/>
          </w:tcPr>
          <w:p w14:paraId="1FB5787C" w14:textId="5E37FF56" w:rsidR="0000116D" w:rsidRDefault="0000116D" w:rsidP="00E70A53">
            <w:pPr>
              <w:rPr>
                <w:lang w:eastAsia="en-AU"/>
              </w:rPr>
            </w:pPr>
            <w:r>
              <w:rPr>
                <w:lang w:eastAsia="en-AU"/>
              </w:rPr>
              <w:t>$500,000</w:t>
            </w:r>
          </w:p>
        </w:tc>
      </w:tr>
      <w:tr w:rsidR="0000116D" w14:paraId="6FAFB3B3" w14:textId="77777777" w:rsidTr="0000116D">
        <w:tc>
          <w:tcPr>
            <w:tcW w:w="2263" w:type="dxa"/>
          </w:tcPr>
          <w:p w14:paraId="03DC285A" w14:textId="3B3EF9D5" w:rsidR="0000116D" w:rsidRDefault="0000116D" w:rsidP="00E70A53">
            <w:pPr>
              <w:rPr>
                <w:lang w:eastAsia="en-AU"/>
              </w:rPr>
            </w:pPr>
            <w:r>
              <w:rPr>
                <w:lang w:eastAsia="en-AU"/>
              </w:rPr>
              <w:t>Mobile food hubs</w:t>
            </w:r>
          </w:p>
        </w:tc>
        <w:tc>
          <w:tcPr>
            <w:tcW w:w="3686" w:type="dxa"/>
          </w:tcPr>
          <w:p w14:paraId="3004BAB8" w14:textId="2C02F6C2" w:rsidR="0000116D" w:rsidRDefault="00762447" w:rsidP="00E70A53">
            <w:pPr>
              <w:rPr>
                <w:lang w:eastAsia="en-AU"/>
              </w:rPr>
            </w:pPr>
            <w:r>
              <w:rPr>
                <w:lang w:eastAsia="en-AU"/>
              </w:rPr>
              <w:t>Mobile vehicles with ambient, chilled and frozen food storage capacity which can be used as mobile food hubs during normal times and then deployed to disaster areas to provide food storage and distribution capability in the absence of power or facilities.</w:t>
            </w:r>
          </w:p>
        </w:tc>
        <w:tc>
          <w:tcPr>
            <w:tcW w:w="1843" w:type="dxa"/>
          </w:tcPr>
          <w:p w14:paraId="407BFD42" w14:textId="2D7AC9B6" w:rsidR="0000116D" w:rsidRDefault="00762447" w:rsidP="00E70A53">
            <w:pPr>
              <w:rPr>
                <w:lang w:eastAsia="en-AU"/>
              </w:rPr>
            </w:pPr>
            <w:r>
              <w:rPr>
                <w:lang w:eastAsia="en-AU"/>
              </w:rPr>
              <w:t>$500,000</w:t>
            </w:r>
          </w:p>
        </w:tc>
      </w:tr>
      <w:tr w:rsidR="0000116D" w14:paraId="26171D94" w14:textId="77777777" w:rsidTr="0000116D">
        <w:tc>
          <w:tcPr>
            <w:tcW w:w="2263" w:type="dxa"/>
          </w:tcPr>
          <w:p w14:paraId="428DDB5B" w14:textId="5355F4A2" w:rsidR="0000116D" w:rsidRDefault="00762447" w:rsidP="00E70A53">
            <w:pPr>
              <w:rPr>
                <w:lang w:eastAsia="en-AU"/>
              </w:rPr>
            </w:pPr>
            <w:r>
              <w:rPr>
                <w:lang w:eastAsia="en-AU"/>
              </w:rPr>
              <w:t>Storage</w:t>
            </w:r>
          </w:p>
        </w:tc>
        <w:tc>
          <w:tcPr>
            <w:tcW w:w="3686" w:type="dxa"/>
          </w:tcPr>
          <w:p w14:paraId="5724F950" w14:textId="536E042C" w:rsidR="0000116D" w:rsidRDefault="00762447" w:rsidP="00E70A53">
            <w:pPr>
              <w:rPr>
                <w:lang w:eastAsia="en-AU"/>
              </w:rPr>
            </w:pPr>
            <w:r>
              <w:rPr>
                <w:lang w:eastAsia="en-AU"/>
              </w:rPr>
              <w:t xml:space="preserve">Enhanced storage capacity in current Foodbank facilities (particularly in Queensland where a remodelling of the current warehouse is needed until </w:t>
            </w:r>
            <w:r>
              <w:rPr>
                <w:lang w:eastAsia="en-AU"/>
              </w:rPr>
              <w:lastRenderedPageBreak/>
              <w:t>a new warehouse can be funded) and funds for additional commercial storage should it be required to meet the throughput of stock.</w:t>
            </w:r>
          </w:p>
        </w:tc>
        <w:tc>
          <w:tcPr>
            <w:tcW w:w="1843" w:type="dxa"/>
          </w:tcPr>
          <w:p w14:paraId="407D684D" w14:textId="6AD794C0" w:rsidR="0000116D" w:rsidRDefault="00762447" w:rsidP="00E70A53">
            <w:pPr>
              <w:rPr>
                <w:lang w:eastAsia="en-AU"/>
              </w:rPr>
            </w:pPr>
            <w:r>
              <w:rPr>
                <w:lang w:eastAsia="en-AU"/>
              </w:rPr>
              <w:lastRenderedPageBreak/>
              <w:t>$</w:t>
            </w:r>
            <w:r w:rsidR="00560154">
              <w:rPr>
                <w:lang w:eastAsia="en-AU"/>
              </w:rPr>
              <w:t>5</w:t>
            </w:r>
            <w:r>
              <w:rPr>
                <w:lang w:eastAsia="en-AU"/>
              </w:rPr>
              <w:t>00,000</w:t>
            </w:r>
            <w:r w:rsidR="00560154">
              <w:rPr>
                <w:lang w:eastAsia="en-AU"/>
              </w:rPr>
              <w:t xml:space="preserve"> (in</w:t>
            </w:r>
            <w:r w:rsidR="00F05F8F">
              <w:rPr>
                <w:lang w:eastAsia="en-AU"/>
              </w:rPr>
              <w:t xml:space="preserve"> addition to</w:t>
            </w:r>
            <w:r w:rsidR="00560154">
              <w:rPr>
                <w:lang w:eastAsia="en-AU"/>
              </w:rPr>
              <w:t xml:space="preserve"> specific infrastructure </w:t>
            </w:r>
            <w:r w:rsidR="00560154">
              <w:rPr>
                <w:lang w:eastAsia="en-AU"/>
              </w:rPr>
              <w:lastRenderedPageBreak/>
              <w:t>needs</w:t>
            </w:r>
            <w:r w:rsidR="00F05F8F">
              <w:rPr>
                <w:lang w:eastAsia="en-AU"/>
              </w:rPr>
              <w:t xml:space="preserve"> within our national network - particularly</w:t>
            </w:r>
            <w:r w:rsidR="00560154">
              <w:rPr>
                <w:lang w:eastAsia="en-AU"/>
              </w:rPr>
              <w:t xml:space="preserve"> Qld, </w:t>
            </w:r>
            <w:proofErr w:type="gramStart"/>
            <w:r w:rsidR="00F05F8F">
              <w:rPr>
                <w:lang w:eastAsia="en-AU"/>
              </w:rPr>
              <w:t>Vic</w:t>
            </w:r>
            <w:proofErr w:type="gramEnd"/>
            <w:r w:rsidR="00F05F8F">
              <w:rPr>
                <w:lang w:eastAsia="en-AU"/>
              </w:rPr>
              <w:t xml:space="preserve"> and</w:t>
            </w:r>
            <w:r w:rsidR="00560154">
              <w:rPr>
                <w:lang w:eastAsia="en-AU"/>
              </w:rPr>
              <w:t xml:space="preserve"> WA</w:t>
            </w:r>
            <w:r w:rsidR="00F05F8F">
              <w:rPr>
                <w:lang w:eastAsia="en-AU"/>
              </w:rPr>
              <w:t xml:space="preserve"> –</w:t>
            </w:r>
            <w:r w:rsidR="00560154">
              <w:rPr>
                <w:lang w:eastAsia="en-AU"/>
              </w:rPr>
              <w:t xml:space="preserve"> </w:t>
            </w:r>
            <w:r w:rsidR="00F05F8F">
              <w:rPr>
                <w:lang w:eastAsia="en-AU"/>
              </w:rPr>
              <w:t>to increase overall</w:t>
            </w:r>
            <w:r w:rsidR="00560154">
              <w:rPr>
                <w:lang w:eastAsia="en-AU"/>
              </w:rPr>
              <w:t xml:space="preserve"> capacity</w:t>
            </w:r>
            <w:r w:rsidR="00F05F8F">
              <w:rPr>
                <w:lang w:eastAsia="en-AU"/>
              </w:rPr>
              <w:t xml:space="preserve"> to cope with disasters on top of regular service).</w:t>
            </w:r>
            <w:r w:rsidR="00560154">
              <w:rPr>
                <w:lang w:eastAsia="en-AU"/>
              </w:rPr>
              <w:t xml:space="preserve"> </w:t>
            </w:r>
          </w:p>
        </w:tc>
      </w:tr>
    </w:tbl>
    <w:p w14:paraId="50AB6885" w14:textId="6C1A7C88" w:rsidR="0000116D" w:rsidRDefault="0000116D" w:rsidP="00E70A53">
      <w:pPr>
        <w:ind w:left="1134"/>
        <w:rPr>
          <w:lang w:eastAsia="en-AU"/>
        </w:rPr>
      </w:pPr>
    </w:p>
    <w:p w14:paraId="4F28521C" w14:textId="3E632213" w:rsidR="004D07EC" w:rsidRDefault="00560154" w:rsidP="00F05F8F">
      <w:pPr>
        <w:ind w:left="1134"/>
        <w:rPr>
          <w:lang w:eastAsia="en-AU"/>
        </w:rPr>
      </w:pPr>
      <w:r>
        <w:rPr>
          <w:lang w:eastAsia="en-AU"/>
        </w:rPr>
        <w:t>Should addition</w:t>
      </w:r>
      <w:r w:rsidR="00F05F8F">
        <w:rPr>
          <w:lang w:eastAsia="en-AU"/>
        </w:rPr>
        <w:t>al</w:t>
      </w:r>
      <w:r>
        <w:rPr>
          <w:lang w:eastAsia="en-AU"/>
        </w:rPr>
        <w:t xml:space="preserve"> info</w:t>
      </w:r>
      <w:r w:rsidR="00F05F8F">
        <w:rPr>
          <w:lang w:eastAsia="en-AU"/>
        </w:rPr>
        <w:t>rmation</w:t>
      </w:r>
      <w:r>
        <w:rPr>
          <w:lang w:eastAsia="en-AU"/>
        </w:rPr>
        <w:t xml:space="preserve"> be required</w:t>
      </w:r>
      <w:r w:rsidR="00F05F8F">
        <w:rPr>
          <w:lang w:eastAsia="en-AU"/>
        </w:rPr>
        <w:t>, do not hesitate to get in touch.</w:t>
      </w:r>
    </w:p>
    <w:p w14:paraId="5E3A1BDF" w14:textId="3E911A06" w:rsidR="00560154" w:rsidRDefault="00560154" w:rsidP="00F05F8F">
      <w:pPr>
        <w:ind w:left="1134"/>
        <w:rPr>
          <w:lang w:eastAsia="en-AU"/>
        </w:rPr>
      </w:pPr>
      <w:r>
        <w:rPr>
          <w:lang w:eastAsia="en-AU"/>
        </w:rPr>
        <w:t xml:space="preserve">Thank you again for </w:t>
      </w:r>
      <w:r w:rsidR="00BB18FF">
        <w:rPr>
          <w:lang w:eastAsia="en-AU"/>
        </w:rPr>
        <w:t xml:space="preserve">the </w:t>
      </w:r>
      <w:r>
        <w:rPr>
          <w:lang w:eastAsia="en-AU"/>
        </w:rPr>
        <w:t>opportunit</w:t>
      </w:r>
      <w:r w:rsidR="00F05F8F">
        <w:rPr>
          <w:lang w:eastAsia="en-AU"/>
        </w:rPr>
        <w:t>y to contribute to this valuable enquiry.</w:t>
      </w:r>
    </w:p>
    <w:p w14:paraId="1E0A02A9" w14:textId="77777777" w:rsidR="00F05F8F" w:rsidRDefault="00F05F8F" w:rsidP="00E70A53">
      <w:pPr>
        <w:ind w:left="1134"/>
        <w:rPr>
          <w:lang w:eastAsia="en-AU"/>
        </w:rPr>
      </w:pPr>
    </w:p>
    <w:p w14:paraId="14CD75F6" w14:textId="77777777" w:rsidR="00F05F8F" w:rsidRDefault="00F05F8F" w:rsidP="00E70A53">
      <w:pPr>
        <w:ind w:left="1134"/>
        <w:rPr>
          <w:lang w:eastAsia="en-AU"/>
        </w:rPr>
      </w:pPr>
    </w:p>
    <w:p w14:paraId="3A842044" w14:textId="0114C4C5" w:rsidR="00E70A53" w:rsidRDefault="00C703F4" w:rsidP="00E70A53">
      <w:pPr>
        <w:ind w:left="1134"/>
        <w:rPr>
          <w:lang w:eastAsia="en-AU"/>
        </w:rPr>
      </w:pPr>
      <w:r>
        <w:rPr>
          <w:lang w:eastAsia="en-AU"/>
        </w:rPr>
        <w:t xml:space="preserve">Yours </w:t>
      </w:r>
      <w:r w:rsidR="00656FA7">
        <w:rPr>
          <w:lang w:eastAsia="en-AU"/>
        </w:rPr>
        <w:t>faithfully</w:t>
      </w:r>
    </w:p>
    <w:p w14:paraId="4351DA92" w14:textId="362B5B3B" w:rsidR="00656FA7" w:rsidRDefault="00656FA7" w:rsidP="00E70A53">
      <w:pPr>
        <w:ind w:left="1134"/>
        <w:rPr>
          <w:lang w:eastAsia="en-AU"/>
        </w:rPr>
      </w:pPr>
      <w:r>
        <w:rPr>
          <w:noProof/>
          <w:shd w:val="clear" w:color="auto" w:fill="auto"/>
          <w:lang w:eastAsia="en-AU"/>
        </w:rPr>
        <w:drawing>
          <wp:anchor distT="0" distB="0" distL="114300" distR="114300" simplePos="0" relativeHeight="251661312" behindDoc="0" locked="0" layoutInCell="1" allowOverlap="1" wp14:anchorId="383771D9" wp14:editId="6C113DCE">
            <wp:simplePos x="0" y="0"/>
            <wp:positionH relativeFrom="column">
              <wp:posOffset>731520</wp:posOffset>
            </wp:positionH>
            <wp:positionV relativeFrom="paragraph">
              <wp:posOffset>7095</wp:posOffset>
            </wp:positionV>
            <wp:extent cx="1801374" cy="1301500"/>
            <wp:effectExtent l="0" t="0" r="8890" b="0"/>
            <wp:wrapThrough wrapText="bothSides">
              <wp:wrapPolygon edited="0">
                <wp:start x="0" y="0"/>
                <wp:lineTo x="0" y="21189"/>
                <wp:lineTo x="21478" y="21189"/>
                <wp:lineTo x="21478" y="0"/>
                <wp:lineTo x="0" y="0"/>
              </wp:wrapPolygon>
            </wp:wrapThrough>
            <wp:docPr id="4" name="Picture 4" descr="A picture containing small, different,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P signature.TIF"/>
                    <pic:cNvPicPr/>
                  </pic:nvPicPr>
                  <pic:blipFill>
                    <a:blip r:embed="rId12"/>
                    <a:stretch>
                      <a:fillRect/>
                    </a:stretch>
                  </pic:blipFill>
                  <pic:spPr>
                    <a:xfrm>
                      <a:off x="0" y="0"/>
                      <a:ext cx="1801374" cy="1301500"/>
                    </a:xfrm>
                    <a:prstGeom prst="rect">
                      <a:avLst/>
                    </a:prstGeom>
                  </pic:spPr>
                </pic:pic>
              </a:graphicData>
            </a:graphic>
          </wp:anchor>
        </w:drawing>
      </w:r>
    </w:p>
    <w:p w14:paraId="0A9BE813" w14:textId="2B13EB01" w:rsidR="00656FA7" w:rsidRDefault="00656FA7" w:rsidP="00E70A53">
      <w:pPr>
        <w:ind w:left="1134"/>
        <w:rPr>
          <w:lang w:eastAsia="en-AU"/>
        </w:rPr>
      </w:pPr>
    </w:p>
    <w:p w14:paraId="1A63C480" w14:textId="77777777" w:rsidR="00656FA7" w:rsidRDefault="00656FA7" w:rsidP="00E70A53">
      <w:pPr>
        <w:ind w:left="1134"/>
        <w:rPr>
          <w:lang w:eastAsia="en-AU"/>
        </w:rPr>
      </w:pPr>
    </w:p>
    <w:p w14:paraId="4E3E5D98" w14:textId="77777777" w:rsidR="00656FA7" w:rsidRDefault="00656FA7" w:rsidP="00E70A53">
      <w:pPr>
        <w:ind w:left="1134"/>
        <w:rPr>
          <w:lang w:eastAsia="en-AU"/>
        </w:rPr>
      </w:pPr>
    </w:p>
    <w:p w14:paraId="1E21D79B" w14:textId="77777777" w:rsidR="00656FA7" w:rsidRDefault="00656FA7" w:rsidP="00E70A53">
      <w:pPr>
        <w:ind w:left="1134"/>
        <w:rPr>
          <w:lang w:eastAsia="en-AU"/>
        </w:rPr>
      </w:pPr>
    </w:p>
    <w:p w14:paraId="59933A1D" w14:textId="77777777" w:rsidR="00656FA7" w:rsidRDefault="00656FA7" w:rsidP="00E70A53">
      <w:pPr>
        <w:ind w:left="1134"/>
        <w:rPr>
          <w:lang w:eastAsia="en-AU"/>
        </w:rPr>
      </w:pPr>
    </w:p>
    <w:p w14:paraId="25FC57D9" w14:textId="135907F7" w:rsidR="00656FA7" w:rsidRDefault="00656FA7" w:rsidP="00E70A53">
      <w:pPr>
        <w:ind w:left="1134"/>
        <w:rPr>
          <w:lang w:eastAsia="en-AU"/>
        </w:rPr>
      </w:pPr>
      <w:r>
        <w:rPr>
          <w:lang w:eastAsia="en-AU"/>
        </w:rPr>
        <w:t>Sarah Pennell</w:t>
      </w:r>
    </w:p>
    <w:p w14:paraId="2D8229B7" w14:textId="6752D9E9" w:rsidR="00E70A53" w:rsidRDefault="00656FA7" w:rsidP="00656FA7">
      <w:pPr>
        <w:ind w:left="1134"/>
        <w:rPr>
          <w:lang w:eastAsia="en-AU"/>
        </w:rPr>
      </w:pPr>
      <w:r>
        <w:rPr>
          <w:lang w:eastAsia="en-AU"/>
        </w:rPr>
        <w:t>General Manager &amp; Company Secretary</w:t>
      </w:r>
      <w:r w:rsidR="00E70A53">
        <w:rPr>
          <w:lang w:eastAsia="en-AU"/>
        </w:rPr>
        <w:br/>
        <w:t>Foodbank Australia</w:t>
      </w:r>
    </w:p>
    <w:sectPr w:rsidR="00E70A53" w:rsidSect="002E6226">
      <w:type w:val="continuous"/>
      <w:pgSz w:w="11906" w:h="16838"/>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E59C2" w14:textId="77777777" w:rsidR="00ED576F" w:rsidRDefault="00ED576F" w:rsidP="00731071">
      <w:r>
        <w:separator/>
      </w:r>
    </w:p>
  </w:endnote>
  <w:endnote w:type="continuationSeparator" w:id="0">
    <w:p w14:paraId="3033E40F" w14:textId="77777777" w:rsidR="00ED576F" w:rsidRDefault="00ED576F" w:rsidP="0073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ADE2A" w14:textId="77777777" w:rsidR="00ED576F" w:rsidRDefault="00ED576F" w:rsidP="00731071">
      <w:r>
        <w:separator/>
      </w:r>
    </w:p>
  </w:footnote>
  <w:footnote w:type="continuationSeparator" w:id="0">
    <w:p w14:paraId="33BD8DD5" w14:textId="77777777" w:rsidR="00ED576F" w:rsidRDefault="00ED576F" w:rsidP="00731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A56"/>
    <w:multiLevelType w:val="multilevel"/>
    <w:tmpl w:val="9DCAC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B70E51"/>
    <w:multiLevelType w:val="hybridMultilevel"/>
    <w:tmpl w:val="C300735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220028"/>
    <w:multiLevelType w:val="hybridMultilevel"/>
    <w:tmpl w:val="53DE0316"/>
    <w:lvl w:ilvl="0" w:tplc="7D1620CC">
      <w:start w:val="1"/>
      <w:numFmt w:val="bullet"/>
      <w:lvlText w:val=""/>
      <w:lvlJc w:val="left"/>
      <w:pPr>
        <w:ind w:left="360" w:hanging="360"/>
      </w:pPr>
      <w:rPr>
        <w:rFonts w:ascii="Symbol" w:hAnsi="Symbol" w:hint="default"/>
        <w:color w:val="671E7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863FE9"/>
    <w:multiLevelType w:val="multilevel"/>
    <w:tmpl w:val="15047E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D26602"/>
    <w:multiLevelType w:val="hybridMultilevel"/>
    <w:tmpl w:val="744C0596"/>
    <w:lvl w:ilvl="0" w:tplc="7D1620CC">
      <w:start w:val="1"/>
      <w:numFmt w:val="bullet"/>
      <w:lvlText w:val=""/>
      <w:lvlJc w:val="left"/>
      <w:pPr>
        <w:ind w:left="360" w:hanging="360"/>
      </w:pPr>
      <w:rPr>
        <w:rFonts w:ascii="Symbol" w:hAnsi="Symbol" w:hint="default"/>
        <w:color w:val="671E7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1D1108"/>
    <w:multiLevelType w:val="hybridMultilevel"/>
    <w:tmpl w:val="0D82868A"/>
    <w:lvl w:ilvl="0" w:tplc="7D1620CC">
      <w:start w:val="1"/>
      <w:numFmt w:val="bullet"/>
      <w:lvlText w:val=""/>
      <w:lvlJc w:val="left"/>
      <w:pPr>
        <w:ind w:left="360" w:hanging="360"/>
      </w:pPr>
      <w:rPr>
        <w:rFonts w:ascii="Symbol" w:hAnsi="Symbol" w:hint="default"/>
        <w:color w:val="671E7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76C29"/>
    <w:multiLevelType w:val="hybridMultilevel"/>
    <w:tmpl w:val="539273B4"/>
    <w:lvl w:ilvl="0" w:tplc="342AAAF0">
      <w:start w:val="1"/>
      <w:numFmt w:val="bullet"/>
      <w:lvlText w:val=""/>
      <w:lvlJc w:val="left"/>
      <w:pPr>
        <w:ind w:left="720" w:hanging="360"/>
      </w:pPr>
      <w:rPr>
        <w:rFonts w:ascii="Symbol" w:hAnsi="Symbol" w:hint="default"/>
        <w:color w:val="671E7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2D1068"/>
    <w:multiLevelType w:val="multilevel"/>
    <w:tmpl w:val="491083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DF34FC"/>
    <w:multiLevelType w:val="multilevel"/>
    <w:tmpl w:val="B8A652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BD1B9F"/>
    <w:multiLevelType w:val="hybridMultilevel"/>
    <w:tmpl w:val="94D085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7B379F9"/>
    <w:multiLevelType w:val="hybridMultilevel"/>
    <w:tmpl w:val="19FE694C"/>
    <w:lvl w:ilvl="0" w:tplc="7D1620CC">
      <w:start w:val="1"/>
      <w:numFmt w:val="bullet"/>
      <w:lvlText w:val=""/>
      <w:lvlJc w:val="left"/>
      <w:pPr>
        <w:ind w:left="360" w:hanging="360"/>
      </w:pPr>
      <w:rPr>
        <w:rFonts w:ascii="Symbol" w:hAnsi="Symbol" w:hint="default"/>
        <w:color w:val="671E75"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140EC8"/>
    <w:multiLevelType w:val="hybridMultilevel"/>
    <w:tmpl w:val="AAF0354A"/>
    <w:lvl w:ilvl="0" w:tplc="7D1620CC">
      <w:start w:val="1"/>
      <w:numFmt w:val="bullet"/>
      <w:lvlText w:val=""/>
      <w:lvlJc w:val="left"/>
      <w:pPr>
        <w:ind w:left="720" w:hanging="360"/>
      </w:pPr>
      <w:rPr>
        <w:rFonts w:ascii="Symbol" w:hAnsi="Symbol" w:hint="default"/>
        <w:color w:val="671E75" w:themeColor="accent1"/>
      </w:rPr>
    </w:lvl>
    <w:lvl w:ilvl="1" w:tplc="057EFB70">
      <w:start w:val="1"/>
      <w:numFmt w:val="bullet"/>
      <w:lvlText w:val=""/>
      <w:lvlJc w:val="left"/>
      <w:pPr>
        <w:ind w:left="1440" w:hanging="360"/>
      </w:pPr>
      <w:rPr>
        <w:rFonts w:ascii="Symbol" w:hAnsi="Symbol" w:hint="default"/>
        <w:color w:val="671E75" w:themeColor="accent1"/>
      </w:rPr>
    </w:lvl>
    <w:lvl w:ilvl="2" w:tplc="48D45068">
      <w:start w:val="1"/>
      <w:numFmt w:val="bullet"/>
      <w:lvlText w:val=""/>
      <w:lvlJc w:val="left"/>
      <w:pPr>
        <w:ind w:left="2160" w:hanging="360"/>
      </w:pPr>
      <w:rPr>
        <w:rFonts w:ascii="Symbol" w:hAnsi="Symbol" w:hint="default"/>
        <w:color w:val="671E75" w:themeColor="accent1"/>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5A0422"/>
    <w:multiLevelType w:val="hybridMultilevel"/>
    <w:tmpl w:val="B874CC9E"/>
    <w:lvl w:ilvl="0" w:tplc="7D1620CC">
      <w:start w:val="1"/>
      <w:numFmt w:val="bullet"/>
      <w:lvlText w:val=""/>
      <w:lvlJc w:val="left"/>
      <w:pPr>
        <w:ind w:left="360" w:hanging="360"/>
      </w:pPr>
      <w:rPr>
        <w:rFonts w:ascii="Symbol" w:hAnsi="Symbol" w:hint="default"/>
        <w:color w:val="671E75"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1437107"/>
    <w:multiLevelType w:val="hybridMultilevel"/>
    <w:tmpl w:val="B6CA1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0001D4"/>
    <w:multiLevelType w:val="hybridMultilevel"/>
    <w:tmpl w:val="10BA33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664BEA"/>
    <w:multiLevelType w:val="multilevel"/>
    <w:tmpl w:val="0CECF56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D828BD"/>
    <w:multiLevelType w:val="hybridMultilevel"/>
    <w:tmpl w:val="45925320"/>
    <w:lvl w:ilvl="0" w:tplc="7D1620CC">
      <w:start w:val="1"/>
      <w:numFmt w:val="bullet"/>
      <w:lvlText w:val=""/>
      <w:lvlJc w:val="left"/>
      <w:pPr>
        <w:ind w:left="360" w:hanging="360"/>
      </w:pPr>
      <w:rPr>
        <w:rFonts w:ascii="Symbol" w:hAnsi="Symbol" w:hint="default"/>
        <w:color w:val="671E75"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B815DC9"/>
    <w:multiLevelType w:val="hybridMultilevel"/>
    <w:tmpl w:val="770C97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1"/>
  </w:num>
  <w:num w:numId="3">
    <w:abstractNumId w:val="11"/>
  </w:num>
  <w:num w:numId="4">
    <w:abstractNumId w:val="13"/>
  </w:num>
  <w:num w:numId="5">
    <w:abstractNumId w:val="12"/>
  </w:num>
  <w:num w:numId="6">
    <w:abstractNumId w:val="16"/>
  </w:num>
  <w:num w:numId="7">
    <w:abstractNumId w:val="2"/>
  </w:num>
  <w:num w:numId="8">
    <w:abstractNumId w:val="10"/>
  </w:num>
  <w:num w:numId="9">
    <w:abstractNumId w:val="4"/>
  </w:num>
  <w:num w:numId="10">
    <w:abstractNumId w:val="5"/>
  </w:num>
  <w:num w:numId="11">
    <w:abstractNumId w:val="7"/>
  </w:num>
  <w:num w:numId="12">
    <w:abstractNumId w:val="8"/>
  </w:num>
  <w:num w:numId="13">
    <w:abstractNumId w:val="3"/>
  </w:num>
  <w:num w:numId="14">
    <w:abstractNumId w:val="15"/>
  </w:num>
  <w:num w:numId="15">
    <w:abstractNumId w:val="9"/>
  </w:num>
  <w:num w:numId="16">
    <w:abstractNumId w:val="1"/>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attachedTemplate r:id="rId1"/>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00"/>
    <w:rsid w:val="0000116D"/>
    <w:rsid w:val="0000360A"/>
    <w:rsid w:val="000055DD"/>
    <w:rsid w:val="000115AE"/>
    <w:rsid w:val="00066808"/>
    <w:rsid w:val="00075560"/>
    <w:rsid w:val="00076819"/>
    <w:rsid w:val="00076962"/>
    <w:rsid w:val="00090308"/>
    <w:rsid w:val="00096E46"/>
    <w:rsid w:val="000A0A9D"/>
    <w:rsid w:val="000A7654"/>
    <w:rsid w:val="000C6AB5"/>
    <w:rsid w:val="000D6EC0"/>
    <w:rsid w:val="000D7349"/>
    <w:rsid w:val="000E4174"/>
    <w:rsid w:val="000E74E3"/>
    <w:rsid w:val="000F1C41"/>
    <w:rsid w:val="00106D61"/>
    <w:rsid w:val="00112CD7"/>
    <w:rsid w:val="0011550D"/>
    <w:rsid w:val="00141C67"/>
    <w:rsid w:val="00141FBA"/>
    <w:rsid w:val="00144ACF"/>
    <w:rsid w:val="00157894"/>
    <w:rsid w:val="00191AF2"/>
    <w:rsid w:val="001B66B2"/>
    <w:rsid w:val="00204413"/>
    <w:rsid w:val="00206550"/>
    <w:rsid w:val="00211AD3"/>
    <w:rsid w:val="00222440"/>
    <w:rsid w:val="0022693C"/>
    <w:rsid w:val="00231F43"/>
    <w:rsid w:val="00240F5E"/>
    <w:rsid w:val="002411D0"/>
    <w:rsid w:val="00271BD7"/>
    <w:rsid w:val="002813E3"/>
    <w:rsid w:val="002929C3"/>
    <w:rsid w:val="002930D5"/>
    <w:rsid w:val="002C244A"/>
    <w:rsid w:val="002D5E6D"/>
    <w:rsid w:val="002E6226"/>
    <w:rsid w:val="002F05D6"/>
    <w:rsid w:val="002F1224"/>
    <w:rsid w:val="002F2B5F"/>
    <w:rsid w:val="002F42B5"/>
    <w:rsid w:val="00310E9A"/>
    <w:rsid w:val="00313D25"/>
    <w:rsid w:val="00325227"/>
    <w:rsid w:val="00357D81"/>
    <w:rsid w:val="00366063"/>
    <w:rsid w:val="00371884"/>
    <w:rsid w:val="003909BD"/>
    <w:rsid w:val="0039692D"/>
    <w:rsid w:val="00397628"/>
    <w:rsid w:val="003B2C12"/>
    <w:rsid w:val="003B6ABA"/>
    <w:rsid w:val="003C3BF1"/>
    <w:rsid w:val="003C536B"/>
    <w:rsid w:val="003C6D87"/>
    <w:rsid w:val="003E53A8"/>
    <w:rsid w:val="004018CF"/>
    <w:rsid w:val="00404341"/>
    <w:rsid w:val="004057DA"/>
    <w:rsid w:val="004503AC"/>
    <w:rsid w:val="00482527"/>
    <w:rsid w:val="004A1709"/>
    <w:rsid w:val="004A4540"/>
    <w:rsid w:val="004C641C"/>
    <w:rsid w:val="004D07EC"/>
    <w:rsid w:val="004E38AF"/>
    <w:rsid w:val="004F7D8A"/>
    <w:rsid w:val="0050136C"/>
    <w:rsid w:val="00503BE2"/>
    <w:rsid w:val="005040AC"/>
    <w:rsid w:val="00511B4B"/>
    <w:rsid w:val="00512093"/>
    <w:rsid w:val="00515FF5"/>
    <w:rsid w:val="00521690"/>
    <w:rsid w:val="0053080A"/>
    <w:rsid w:val="005465EB"/>
    <w:rsid w:val="00546FA7"/>
    <w:rsid w:val="00553584"/>
    <w:rsid w:val="00560154"/>
    <w:rsid w:val="005623B9"/>
    <w:rsid w:val="00565300"/>
    <w:rsid w:val="00571782"/>
    <w:rsid w:val="00593D98"/>
    <w:rsid w:val="005A0CD7"/>
    <w:rsid w:val="005A1C3E"/>
    <w:rsid w:val="005A2C19"/>
    <w:rsid w:val="005B0C03"/>
    <w:rsid w:val="005B529E"/>
    <w:rsid w:val="005C6390"/>
    <w:rsid w:val="005C72D6"/>
    <w:rsid w:val="005D0922"/>
    <w:rsid w:val="005D583E"/>
    <w:rsid w:val="005F137E"/>
    <w:rsid w:val="005F3652"/>
    <w:rsid w:val="006126D8"/>
    <w:rsid w:val="00615F87"/>
    <w:rsid w:val="00635FF1"/>
    <w:rsid w:val="006563E8"/>
    <w:rsid w:val="00656FA7"/>
    <w:rsid w:val="00693653"/>
    <w:rsid w:val="00697322"/>
    <w:rsid w:val="006A1C60"/>
    <w:rsid w:val="006A2FEA"/>
    <w:rsid w:val="006B712F"/>
    <w:rsid w:val="006D6490"/>
    <w:rsid w:val="006E0F9E"/>
    <w:rsid w:val="006E333E"/>
    <w:rsid w:val="006E4401"/>
    <w:rsid w:val="006E6AC4"/>
    <w:rsid w:val="00720188"/>
    <w:rsid w:val="00722C48"/>
    <w:rsid w:val="00723E75"/>
    <w:rsid w:val="00731071"/>
    <w:rsid w:val="00736B32"/>
    <w:rsid w:val="00736DDD"/>
    <w:rsid w:val="007370DE"/>
    <w:rsid w:val="00741525"/>
    <w:rsid w:val="00756615"/>
    <w:rsid w:val="00757B94"/>
    <w:rsid w:val="00762447"/>
    <w:rsid w:val="00764450"/>
    <w:rsid w:val="00775B7A"/>
    <w:rsid w:val="007C7EFC"/>
    <w:rsid w:val="007D2DDF"/>
    <w:rsid w:val="007E6F3B"/>
    <w:rsid w:val="007F5ABB"/>
    <w:rsid w:val="00856B63"/>
    <w:rsid w:val="00863F1F"/>
    <w:rsid w:val="008752CF"/>
    <w:rsid w:val="0088059F"/>
    <w:rsid w:val="00893E62"/>
    <w:rsid w:val="00895934"/>
    <w:rsid w:val="008C29AE"/>
    <w:rsid w:val="008E5C8E"/>
    <w:rsid w:val="008F0B46"/>
    <w:rsid w:val="008F1FE2"/>
    <w:rsid w:val="008F3B36"/>
    <w:rsid w:val="008F6874"/>
    <w:rsid w:val="00902B4F"/>
    <w:rsid w:val="00915F4D"/>
    <w:rsid w:val="0091776E"/>
    <w:rsid w:val="009214EE"/>
    <w:rsid w:val="00925A87"/>
    <w:rsid w:val="0093549F"/>
    <w:rsid w:val="00960D2A"/>
    <w:rsid w:val="00964B52"/>
    <w:rsid w:val="009709ED"/>
    <w:rsid w:val="009764B3"/>
    <w:rsid w:val="00985B4D"/>
    <w:rsid w:val="00997C12"/>
    <w:rsid w:val="009A29B8"/>
    <w:rsid w:val="009A5DC7"/>
    <w:rsid w:val="009B2A17"/>
    <w:rsid w:val="009B2C75"/>
    <w:rsid w:val="009D7A3A"/>
    <w:rsid w:val="009E008B"/>
    <w:rsid w:val="00A27A8F"/>
    <w:rsid w:val="00A340F4"/>
    <w:rsid w:val="00A4211B"/>
    <w:rsid w:val="00A5702C"/>
    <w:rsid w:val="00A65237"/>
    <w:rsid w:val="00A65D50"/>
    <w:rsid w:val="00A82D32"/>
    <w:rsid w:val="00A96367"/>
    <w:rsid w:val="00AD45C6"/>
    <w:rsid w:val="00AE1374"/>
    <w:rsid w:val="00AE2247"/>
    <w:rsid w:val="00AE2819"/>
    <w:rsid w:val="00AE7CC7"/>
    <w:rsid w:val="00AF617E"/>
    <w:rsid w:val="00B37CD0"/>
    <w:rsid w:val="00B41523"/>
    <w:rsid w:val="00B478F2"/>
    <w:rsid w:val="00B47F03"/>
    <w:rsid w:val="00B555C6"/>
    <w:rsid w:val="00B5741B"/>
    <w:rsid w:val="00B65947"/>
    <w:rsid w:val="00B72099"/>
    <w:rsid w:val="00B741BA"/>
    <w:rsid w:val="00B84A41"/>
    <w:rsid w:val="00B864DB"/>
    <w:rsid w:val="00BA6115"/>
    <w:rsid w:val="00BB18FF"/>
    <w:rsid w:val="00BD1CFD"/>
    <w:rsid w:val="00BD3415"/>
    <w:rsid w:val="00BE7E52"/>
    <w:rsid w:val="00BF3187"/>
    <w:rsid w:val="00BF3819"/>
    <w:rsid w:val="00C159D4"/>
    <w:rsid w:val="00C32797"/>
    <w:rsid w:val="00C4132E"/>
    <w:rsid w:val="00C55EFD"/>
    <w:rsid w:val="00C57CAB"/>
    <w:rsid w:val="00C6591E"/>
    <w:rsid w:val="00C703F4"/>
    <w:rsid w:val="00C80DB6"/>
    <w:rsid w:val="00C81C45"/>
    <w:rsid w:val="00C86E4D"/>
    <w:rsid w:val="00C93135"/>
    <w:rsid w:val="00C9663B"/>
    <w:rsid w:val="00CA2E27"/>
    <w:rsid w:val="00CB79C6"/>
    <w:rsid w:val="00CC7C00"/>
    <w:rsid w:val="00CE6565"/>
    <w:rsid w:val="00D0423F"/>
    <w:rsid w:val="00D112B5"/>
    <w:rsid w:val="00D132A9"/>
    <w:rsid w:val="00D16648"/>
    <w:rsid w:val="00D22CA8"/>
    <w:rsid w:val="00D22CD1"/>
    <w:rsid w:val="00D33FFF"/>
    <w:rsid w:val="00D55745"/>
    <w:rsid w:val="00D60636"/>
    <w:rsid w:val="00D6212B"/>
    <w:rsid w:val="00D62DF6"/>
    <w:rsid w:val="00D7101A"/>
    <w:rsid w:val="00D740C7"/>
    <w:rsid w:val="00D75600"/>
    <w:rsid w:val="00D75D15"/>
    <w:rsid w:val="00D8404A"/>
    <w:rsid w:val="00D855A8"/>
    <w:rsid w:val="00DA26D3"/>
    <w:rsid w:val="00DB5867"/>
    <w:rsid w:val="00DD68DD"/>
    <w:rsid w:val="00DE2E8A"/>
    <w:rsid w:val="00E21168"/>
    <w:rsid w:val="00E24000"/>
    <w:rsid w:val="00E27273"/>
    <w:rsid w:val="00E51242"/>
    <w:rsid w:val="00E52047"/>
    <w:rsid w:val="00E66B0A"/>
    <w:rsid w:val="00E70A53"/>
    <w:rsid w:val="00E76501"/>
    <w:rsid w:val="00E825DB"/>
    <w:rsid w:val="00E908C6"/>
    <w:rsid w:val="00E95877"/>
    <w:rsid w:val="00EA01C3"/>
    <w:rsid w:val="00EA037A"/>
    <w:rsid w:val="00EA3F49"/>
    <w:rsid w:val="00EB70F2"/>
    <w:rsid w:val="00EC662E"/>
    <w:rsid w:val="00ED576F"/>
    <w:rsid w:val="00EE0707"/>
    <w:rsid w:val="00EE4C07"/>
    <w:rsid w:val="00EE4D3C"/>
    <w:rsid w:val="00EE5667"/>
    <w:rsid w:val="00EF2E7F"/>
    <w:rsid w:val="00EF2ED4"/>
    <w:rsid w:val="00F05F8F"/>
    <w:rsid w:val="00F127FC"/>
    <w:rsid w:val="00F12949"/>
    <w:rsid w:val="00F17F61"/>
    <w:rsid w:val="00F23871"/>
    <w:rsid w:val="00F33B1E"/>
    <w:rsid w:val="00F349E7"/>
    <w:rsid w:val="00F40E36"/>
    <w:rsid w:val="00F42A0B"/>
    <w:rsid w:val="00F45663"/>
    <w:rsid w:val="00F57CFC"/>
    <w:rsid w:val="00F778DC"/>
    <w:rsid w:val="00F82032"/>
    <w:rsid w:val="00FB3081"/>
    <w:rsid w:val="00FD5B5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479D09"/>
  <w15:docId w15:val="{DA39E3D4-655E-435B-8C41-22D49A9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heme="minorHAnsi" w:hAnsi="Trebuchet MS" w:cstheme="minorBidi"/>
        <w:szCs w:val="22"/>
        <w:lang w:val="en-AU" w:eastAsia="en-US"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71"/>
    <w:pPr>
      <w:spacing w:after="120" w:line="276" w:lineRule="auto"/>
      <w:ind w:left="0" w:firstLine="0"/>
    </w:pPr>
    <w:rPr>
      <w:rFonts w:cs="Arial"/>
      <w:color w:val="000000"/>
      <w:szCs w:val="20"/>
      <w:shd w:val="clear" w:color="auto" w:fill="FFFFFF"/>
    </w:rPr>
  </w:style>
  <w:style w:type="paragraph" w:styleId="Heading1">
    <w:name w:val="heading 1"/>
    <w:basedOn w:val="Normal"/>
    <w:next w:val="Normal"/>
    <w:link w:val="Heading1Char"/>
    <w:autoRedefine/>
    <w:uiPriority w:val="9"/>
    <w:qFormat/>
    <w:rsid w:val="00CC7C00"/>
    <w:pPr>
      <w:keepNext/>
      <w:keepLines/>
      <w:pBdr>
        <w:bottom w:val="single" w:sz="12" w:space="1" w:color="DF7A00" w:themeColor="accent3"/>
      </w:pBdr>
      <w:spacing w:before="240"/>
      <w:outlineLvl w:val="0"/>
    </w:pPr>
    <w:rPr>
      <w:rFonts w:eastAsia="PMingLiU" w:cs="Times New Roman"/>
      <w:b/>
      <w:bCs/>
      <w:color w:val="671E75"/>
      <w:sz w:val="32"/>
      <w:szCs w:val="40"/>
    </w:rPr>
  </w:style>
  <w:style w:type="paragraph" w:styleId="Heading2">
    <w:name w:val="heading 2"/>
    <w:basedOn w:val="Normal"/>
    <w:next w:val="Normal"/>
    <w:link w:val="Heading2Char"/>
    <w:autoRedefine/>
    <w:uiPriority w:val="9"/>
    <w:unhideWhenUsed/>
    <w:qFormat/>
    <w:rsid w:val="00A82D32"/>
    <w:pPr>
      <w:keepNext/>
      <w:keepLines/>
      <w:spacing w:before="240" w:after="60"/>
      <w:outlineLvl w:val="1"/>
    </w:pPr>
    <w:rPr>
      <w:rFonts w:eastAsiaTheme="majorEastAsia" w:cstheme="majorBidi"/>
      <w:b/>
      <w:bCs/>
      <w:color w:val="671E75" w:themeColor="accent1"/>
      <w:sz w:val="28"/>
      <w:szCs w:val="24"/>
      <w:lang w:eastAsia="en-AU"/>
    </w:rPr>
  </w:style>
  <w:style w:type="paragraph" w:styleId="Heading3">
    <w:name w:val="heading 3"/>
    <w:basedOn w:val="Heading2"/>
    <w:next w:val="Normal"/>
    <w:link w:val="Heading3Char"/>
    <w:autoRedefine/>
    <w:uiPriority w:val="9"/>
    <w:unhideWhenUsed/>
    <w:qFormat/>
    <w:rsid w:val="00A82D32"/>
    <w:pPr>
      <w:outlineLvl w:val="2"/>
    </w:pPr>
    <w:rPr>
      <w:color w:val="00ADD0" w:themeColor="accent2"/>
      <w:sz w:val="24"/>
    </w:rPr>
  </w:style>
  <w:style w:type="paragraph" w:styleId="Heading4">
    <w:name w:val="heading 4"/>
    <w:basedOn w:val="Heading3"/>
    <w:next w:val="Normal"/>
    <w:link w:val="Heading4Char"/>
    <w:autoRedefine/>
    <w:uiPriority w:val="9"/>
    <w:unhideWhenUsed/>
    <w:qFormat/>
    <w:rsid w:val="00A82D32"/>
    <w:pPr>
      <w:outlineLvl w:val="3"/>
    </w:pPr>
    <w:rPr>
      <w:iCs/>
      <w:color w:val="DF7A00"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C00"/>
    <w:rPr>
      <w:rFonts w:eastAsia="PMingLiU" w:cs="Times New Roman"/>
      <w:b/>
      <w:bCs/>
      <w:color w:val="671E75"/>
      <w:sz w:val="32"/>
      <w:szCs w:val="40"/>
    </w:rPr>
  </w:style>
  <w:style w:type="character" w:customStyle="1" w:styleId="Heading2Char">
    <w:name w:val="Heading 2 Char"/>
    <w:basedOn w:val="DefaultParagraphFont"/>
    <w:link w:val="Heading2"/>
    <w:uiPriority w:val="9"/>
    <w:rsid w:val="00A82D32"/>
    <w:rPr>
      <w:rFonts w:eastAsiaTheme="majorEastAsia" w:cstheme="majorBidi"/>
      <w:b/>
      <w:bCs/>
      <w:color w:val="671E75" w:themeColor="accent1"/>
      <w:sz w:val="28"/>
      <w:szCs w:val="24"/>
      <w:lang w:eastAsia="en-AU"/>
    </w:rPr>
  </w:style>
  <w:style w:type="character" w:customStyle="1" w:styleId="Heading3Char">
    <w:name w:val="Heading 3 Char"/>
    <w:basedOn w:val="DefaultParagraphFont"/>
    <w:link w:val="Heading3"/>
    <w:uiPriority w:val="9"/>
    <w:rsid w:val="00A82D32"/>
    <w:rPr>
      <w:rFonts w:eastAsiaTheme="majorEastAsia" w:cstheme="majorBidi"/>
      <w:b/>
      <w:bCs/>
      <w:color w:val="00ADD0" w:themeColor="accent2"/>
      <w:sz w:val="24"/>
      <w:szCs w:val="24"/>
      <w:lang w:eastAsia="en-AU"/>
    </w:rPr>
  </w:style>
  <w:style w:type="paragraph" w:styleId="Title">
    <w:name w:val="Title"/>
    <w:basedOn w:val="Normal"/>
    <w:next w:val="Normal"/>
    <w:link w:val="TitleChar"/>
    <w:autoRedefine/>
    <w:qFormat/>
    <w:rsid w:val="00A82D32"/>
    <w:pPr>
      <w:spacing w:after="0"/>
      <w:contextualSpacing/>
    </w:pPr>
    <w:rPr>
      <w:rFonts w:eastAsiaTheme="majorEastAsia" w:cstheme="majorBidi"/>
      <w:b/>
      <w:noProof/>
      <w:color w:val="671E75"/>
      <w:spacing w:val="5"/>
      <w:kern w:val="28"/>
      <w:sz w:val="40"/>
      <w:szCs w:val="52"/>
      <w:lang w:eastAsia="en-AU"/>
    </w:rPr>
  </w:style>
  <w:style w:type="character" w:customStyle="1" w:styleId="TitleChar">
    <w:name w:val="Title Char"/>
    <w:basedOn w:val="DefaultParagraphFont"/>
    <w:link w:val="Title"/>
    <w:rsid w:val="00A82D32"/>
    <w:rPr>
      <w:rFonts w:eastAsiaTheme="majorEastAsia" w:cstheme="majorBidi"/>
      <w:b/>
      <w:noProof/>
      <w:color w:val="671E75"/>
      <w:spacing w:val="5"/>
      <w:kern w:val="28"/>
      <w:sz w:val="40"/>
      <w:szCs w:val="52"/>
      <w:lang w:eastAsia="en-AU"/>
    </w:rPr>
  </w:style>
  <w:style w:type="paragraph" w:styleId="NoSpacing">
    <w:name w:val="No Spacing"/>
    <w:uiPriority w:val="1"/>
    <w:rsid w:val="00206550"/>
  </w:style>
  <w:style w:type="paragraph" w:styleId="ListParagraph">
    <w:name w:val="List Paragraph"/>
    <w:basedOn w:val="Normal"/>
    <w:uiPriority w:val="34"/>
    <w:rsid w:val="00206550"/>
    <w:pPr>
      <w:ind w:left="720"/>
      <w:contextualSpacing/>
    </w:pPr>
  </w:style>
  <w:style w:type="paragraph" w:styleId="Header">
    <w:name w:val="header"/>
    <w:basedOn w:val="Normal"/>
    <w:link w:val="HeaderChar"/>
    <w:uiPriority w:val="99"/>
    <w:unhideWhenUsed/>
    <w:rsid w:val="00206550"/>
    <w:pPr>
      <w:tabs>
        <w:tab w:val="center" w:pos="4513"/>
        <w:tab w:val="right" w:pos="9026"/>
      </w:tabs>
    </w:pPr>
  </w:style>
  <w:style w:type="character" w:customStyle="1" w:styleId="HeaderChar">
    <w:name w:val="Header Char"/>
    <w:basedOn w:val="DefaultParagraphFont"/>
    <w:link w:val="Header"/>
    <w:uiPriority w:val="99"/>
    <w:rsid w:val="00206550"/>
    <w:rPr>
      <w:rFonts w:ascii="Trebuchet MS" w:hAnsi="Trebuchet MS"/>
      <w:sz w:val="20"/>
    </w:rPr>
  </w:style>
  <w:style w:type="paragraph" w:styleId="Footer">
    <w:name w:val="footer"/>
    <w:basedOn w:val="Normal"/>
    <w:link w:val="FooterChar"/>
    <w:uiPriority w:val="99"/>
    <w:unhideWhenUsed/>
    <w:rsid w:val="00206550"/>
    <w:pPr>
      <w:tabs>
        <w:tab w:val="center" w:pos="4513"/>
        <w:tab w:val="right" w:pos="9026"/>
      </w:tabs>
    </w:pPr>
  </w:style>
  <w:style w:type="character" w:customStyle="1" w:styleId="FooterChar">
    <w:name w:val="Footer Char"/>
    <w:basedOn w:val="DefaultParagraphFont"/>
    <w:link w:val="Footer"/>
    <w:uiPriority w:val="99"/>
    <w:rsid w:val="00206550"/>
    <w:rPr>
      <w:rFonts w:ascii="Trebuchet MS" w:hAnsi="Trebuchet MS"/>
      <w:sz w:val="20"/>
    </w:rPr>
  </w:style>
  <w:style w:type="paragraph" w:styleId="BalloonText">
    <w:name w:val="Balloon Text"/>
    <w:basedOn w:val="Normal"/>
    <w:link w:val="BalloonTextChar"/>
    <w:uiPriority w:val="99"/>
    <w:semiHidden/>
    <w:unhideWhenUsed/>
    <w:rsid w:val="00206550"/>
    <w:rPr>
      <w:rFonts w:ascii="Tahoma" w:hAnsi="Tahoma" w:cs="Tahoma"/>
      <w:sz w:val="16"/>
      <w:szCs w:val="16"/>
    </w:rPr>
  </w:style>
  <w:style w:type="character" w:customStyle="1" w:styleId="BalloonTextChar">
    <w:name w:val="Balloon Text Char"/>
    <w:basedOn w:val="DefaultParagraphFont"/>
    <w:link w:val="BalloonText"/>
    <w:uiPriority w:val="99"/>
    <w:semiHidden/>
    <w:rsid w:val="00206550"/>
    <w:rPr>
      <w:rFonts w:ascii="Tahoma" w:hAnsi="Tahoma" w:cs="Tahoma"/>
      <w:sz w:val="16"/>
      <w:szCs w:val="16"/>
    </w:rPr>
  </w:style>
  <w:style w:type="character" w:styleId="Hyperlink">
    <w:name w:val="Hyperlink"/>
    <w:basedOn w:val="DefaultParagraphFont"/>
    <w:uiPriority w:val="99"/>
    <w:unhideWhenUsed/>
    <w:qFormat/>
    <w:rsid w:val="00693653"/>
    <w:rPr>
      <w:b w:val="0"/>
      <w:color w:val="00ADD0" w:themeColor="accent2"/>
      <w:u w:val="single"/>
    </w:rPr>
  </w:style>
  <w:style w:type="character" w:styleId="PlaceholderText">
    <w:name w:val="Placeholder Text"/>
    <w:basedOn w:val="DefaultParagraphFont"/>
    <w:uiPriority w:val="99"/>
    <w:semiHidden/>
    <w:rsid w:val="00FD5B5A"/>
    <w:rPr>
      <w:color w:val="808080"/>
    </w:rPr>
  </w:style>
  <w:style w:type="paragraph" w:customStyle="1" w:styleId="ISISbodycopy">
    <w:name w:val="ISIS body copy"/>
    <w:basedOn w:val="Normal"/>
    <w:link w:val="ISISbodycopyChar"/>
    <w:rsid w:val="00F349E7"/>
    <w:rPr>
      <w:rFonts w:ascii="Arial" w:eastAsia="Times New Roman" w:hAnsi="Arial"/>
    </w:rPr>
  </w:style>
  <w:style w:type="character" w:customStyle="1" w:styleId="ISISbodycopyChar">
    <w:name w:val="ISIS body copy Char"/>
    <w:link w:val="ISISbodycopy"/>
    <w:rsid w:val="00F349E7"/>
    <w:rPr>
      <w:rFonts w:ascii="Arial" w:eastAsia="Times New Roman" w:hAnsi="Arial" w:cs="Arial"/>
    </w:rPr>
  </w:style>
  <w:style w:type="table" w:styleId="TableGrid">
    <w:name w:val="Table Grid"/>
    <w:basedOn w:val="TableNormal"/>
    <w:uiPriority w:val="59"/>
    <w:rsid w:val="00AD4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heading">
    <w:name w:val="Sub Sub heading"/>
    <w:basedOn w:val="Heading3"/>
    <w:link w:val="SubSubheadingChar"/>
    <w:rsid w:val="00985B4D"/>
    <w:pPr>
      <w:spacing w:before="0"/>
    </w:pPr>
    <w:rPr>
      <w:b w:val="0"/>
      <w:color w:val="83847A" w:themeColor="text2"/>
    </w:rPr>
  </w:style>
  <w:style w:type="character" w:customStyle="1" w:styleId="SubSubheadingChar">
    <w:name w:val="Sub Sub heading Char"/>
    <w:basedOn w:val="DefaultParagraphFont"/>
    <w:link w:val="SubSubheading"/>
    <w:rsid w:val="00985B4D"/>
    <w:rPr>
      <w:rFonts w:cs="Arial"/>
      <w:color w:val="83847A" w:themeColor="text2"/>
      <w:sz w:val="24"/>
      <w:szCs w:val="24"/>
    </w:rPr>
  </w:style>
  <w:style w:type="character" w:styleId="Emphasis">
    <w:name w:val="Emphasis"/>
    <w:basedOn w:val="DefaultParagraphFont"/>
    <w:uiPriority w:val="20"/>
    <w:rsid w:val="00B555C6"/>
    <w:rPr>
      <w:rFonts w:ascii="Trebuchet MS" w:hAnsi="Trebuchet MS"/>
      <w:i/>
      <w:iCs/>
      <w:color w:val="00ADD0" w:themeColor="accent2"/>
      <w:sz w:val="22"/>
    </w:rPr>
  </w:style>
  <w:style w:type="paragraph" w:customStyle="1" w:styleId="Actionitem">
    <w:name w:val="Action item"/>
    <w:basedOn w:val="Normal"/>
    <w:link w:val="ActionitemChar"/>
    <w:qFormat/>
    <w:rsid w:val="00D55745"/>
    <w:pPr>
      <w:ind w:left="360"/>
    </w:pPr>
    <w:rPr>
      <w:b/>
      <w:color w:val="47D5CD"/>
    </w:rPr>
  </w:style>
  <w:style w:type="character" w:customStyle="1" w:styleId="ActionitemChar">
    <w:name w:val="Action item Char"/>
    <w:basedOn w:val="DefaultParagraphFont"/>
    <w:link w:val="Actionitem"/>
    <w:rsid w:val="00D55745"/>
    <w:rPr>
      <w:rFonts w:cs="Arial"/>
      <w:b/>
      <w:color w:val="47D5CD"/>
      <w:szCs w:val="20"/>
    </w:rPr>
  </w:style>
  <w:style w:type="paragraph" w:styleId="Subtitle">
    <w:name w:val="Subtitle"/>
    <w:basedOn w:val="SubSubheading"/>
    <w:next w:val="Normal"/>
    <w:link w:val="SubtitleChar"/>
    <w:uiPriority w:val="11"/>
    <w:qFormat/>
    <w:rsid w:val="002929C3"/>
  </w:style>
  <w:style w:type="character" w:customStyle="1" w:styleId="SubtitleChar">
    <w:name w:val="Subtitle Char"/>
    <w:basedOn w:val="DefaultParagraphFont"/>
    <w:link w:val="Subtitle"/>
    <w:uiPriority w:val="11"/>
    <w:rsid w:val="002929C3"/>
    <w:rPr>
      <w:rFonts w:eastAsiaTheme="majorEastAsia" w:cstheme="majorBidi"/>
      <w:bCs/>
      <w:color w:val="83847A" w:themeColor="text2"/>
      <w:sz w:val="24"/>
      <w:szCs w:val="24"/>
    </w:rPr>
  </w:style>
  <w:style w:type="character" w:customStyle="1" w:styleId="Heading4Char">
    <w:name w:val="Heading 4 Char"/>
    <w:basedOn w:val="DefaultParagraphFont"/>
    <w:link w:val="Heading4"/>
    <w:uiPriority w:val="9"/>
    <w:rsid w:val="00A82D32"/>
    <w:rPr>
      <w:rFonts w:eastAsiaTheme="majorEastAsia" w:cstheme="majorBidi"/>
      <w:b/>
      <w:bCs/>
      <w:iCs/>
      <w:color w:val="DF7A00" w:themeColor="accent3"/>
      <w:szCs w:val="24"/>
      <w:lang w:eastAsia="en-AU"/>
    </w:rPr>
  </w:style>
  <w:style w:type="paragraph" w:styleId="BodyText">
    <w:name w:val="Body Text"/>
    <w:basedOn w:val="Normal"/>
    <w:link w:val="BodyTextChar"/>
    <w:uiPriority w:val="1"/>
    <w:qFormat/>
    <w:rsid w:val="00E24000"/>
    <w:pPr>
      <w:widowControl w:val="0"/>
      <w:spacing w:before="6" w:after="0" w:line="240" w:lineRule="auto"/>
      <w:ind w:left="1525"/>
    </w:pPr>
    <w:rPr>
      <w:rFonts w:ascii="Verdana" w:eastAsia="Verdana" w:hAnsi="Verdana" w:cstheme="minorBidi"/>
      <w:color w:val="auto"/>
      <w:sz w:val="13"/>
      <w:szCs w:val="13"/>
      <w:shd w:val="clear" w:color="auto" w:fill="auto"/>
      <w:lang w:val="en-US"/>
    </w:rPr>
  </w:style>
  <w:style w:type="character" w:customStyle="1" w:styleId="BodyTextChar">
    <w:name w:val="Body Text Char"/>
    <w:basedOn w:val="DefaultParagraphFont"/>
    <w:link w:val="BodyText"/>
    <w:uiPriority w:val="1"/>
    <w:rsid w:val="00E24000"/>
    <w:rPr>
      <w:rFonts w:ascii="Verdana" w:eastAsia="Verdana" w:hAnsi="Verdana"/>
      <w:sz w:val="13"/>
      <w:szCs w:val="1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91770">
      <w:bodyDiv w:val="1"/>
      <w:marLeft w:val="0"/>
      <w:marRight w:val="0"/>
      <w:marTop w:val="0"/>
      <w:marBottom w:val="0"/>
      <w:divBdr>
        <w:top w:val="none" w:sz="0" w:space="0" w:color="auto"/>
        <w:left w:val="none" w:sz="0" w:space="0" w:color="auto"/>
        <w:bottom w:val="none" w:sz="0" w:space="0" w:color="auto"/>
        <w:right w:val="none" w:sz="0" w:space="0" w:color="auto"/>
      </w:divBdr>
    </w:div>
    <w:div w:id="1479493833">
      <w:bodyDiv w:val="1"/>
      <w:marLeft w:val="0"/>
      <w:marRight w:val="0"/>
      <w:marTop w:val="0"/>
      <w:marBottom w:val="0"/>
      <w:divBdr>
        <w:top w:val="none" w:sz="0" w:space="0" w:color="auto"/>
        <w:left w:val="none" w:sz="0" w:space="0" w:color="auto"/>
        <w:bottom w:val="none" w:sz="0" w:space="0" w:color="auto"/>
        <w:right w:val="none" w:sz="0" w:space="0" w:color="auto"/>
      </w:divBdr>
    </w:div>
    <w:div w:id="2098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p\AppData\Roaming\Microsoft\Templates\Foodbank%20Document%20template.dotx" TargetMode="External"/></Relationships>
</file>

<file path=word/theme/theme1.xml><?xml version="1.0" encoding="utf-8"?>
<a:theme xmlns:a="http://schemas.openxmlformats.org/drawingml/2006/main" name="Office Theme">
  <a:themeElements>
    <a:clrScheme name="Foodbank Colours">
      <a:dk1>
        <a:srgbClr val="000000"/>
      </a:dk1>
      <a:lt1>
        <a:srgbClr val="C6C6BC"/>
      </a:lt1>
      <a:dk2>
        <a:srgbClr val="83847A"/>
      </a:dk2>
      <a:lt2>
        <a:srgbClr val="CECFCB"/>
      </a:lt2>
      <a:accent1>
        <a:srgbClr val="671E75"/>
      </a:accent1>
      <a:accent2>
        <a:srgbClr val="00ADD0"/>
      </a:accent2>
      <a:accent3>
        <a:srgbClr val="DF7A00"/>
      </a:accent3>
      <a:accent4>
        <a:srgbClr val="47D5CD"/>
      </a:accent4>
      <a:accent5>
        <a:srgbClr val="FFFFFF"/>
      </a:accent5>
      <a:accent6>
        <a:srgbClr val="FFFF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D289753BC8A0C40B076446C35AF9A93" ma:contentTypeVersion="12" ma:contentTypeDescription="Create a new document." ma:contentTypeScope="" ma:versionID="d1f0f9fab331eefca3e862005a08b04e">
  <xsd:schema xmlns:xsd="http://www.w3.org/2001/XMLSchema" xmlns:xs="http://www.w3.org/2001/XMLSchema" xmlns:p="http://schemas.microsoft.com/office/2006/metadata/properties" xmlns:ns2="5d417cc3-cde3-44e2-874f-c57435eb9f17" xmlns:ns3="3cf04063-f5a8-4aec-a3e7-1d00a2307693" targetNamespace="http://schemas.microsoft.com/office/2006/metadata/properties" ma:root="true" ma:fieldsID="c52dcae15c08a95df2d1bffe951c4297" ns2:_="" ns3:_="">
    <xsd:import namespace="5d417cc3-cde3-44e2-874f-c57435eb9f17"/>
    <xsd:import namespace="3cf04063-f5a8-4aec-a3e7-1d00a2307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17cc3-cde3-44e2-874f-c57435eb9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f04063-f5a8-4aec-a3e7-1d00a23076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5CF40-7C40-4041-8390-238B013A75CB}">
  <ds:schemaRefs>
    <ds:schemaRef ds:uri="http://schemas.openxmlformats.org/officeDocument/2006/bibliography"/>
  </ds:schemaRefs>
</ds:datastoreItem>
</file>

<file path=customXml/itemProps2.xml><?xml version="1.0" encoding="utf-8"?>
<ds:datastoreItem xmlns:ds="http://schemas.openxmlformats.org/officeDocument/2006/customXml" ds:itemID="{750CC613-6AEB-4310-A9B1-BA0307B308EE}"/>
</file>

<file path=customXml/itemProps3.xml><?xml version="1.0" encoding="utf-8"?>
<ds:datastoreItem xmlns:ds="http://schemas.openxmlformats.org/officeDocument/2006/customXml" ds:itemID="{4DE0BBB1-9B43-474B-A79D-F37AFAF79F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29E831-CD4D-4CCA-B9EE-74AD6ACBF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Foodbank Document template.dotx</Template>
  <TotalTime>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Pennell</dc:creator>
  <cp:lastModifiedBy>Sarah Pennell</cp:lastModifiedBy>
  <cp:revision>2</cp:revision>
  <cp:lastPrinted>2016-01-27T05:10:00Z</cp:lastPrinted>
  <dcterms:created xsi:type="dcterms:W3CDTF">2020-08-21T06:55:00Z</dcterms:created>
  <dcterms:modified xsi:type="dcterms:W3CDTF">2020-08-21T06:55:00Z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0x0101006D289753BC8A0C40B076446C35AF9A93</vt:lpwstr>
  </property>
</Properties>
</file>